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4" w:rsidRDefault="0048628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тачкa</w:t>
      </w:r>
      <w:proofErr w:type="spellEnd"/>
      <w:proofErr w:type="gramEnd"/>
      <w:r>
        <w:rPr>
          <w:color w:val="000000"/>
        </w:rPr>
        <w:t xml:space="preserve"> 8)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24/18),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409C4" w:rsidRDefault="00486280">
      <w:pPr>
        <w:spacing w:after="225"/>
        <w:jc w:val="center"/>
      </w:pPr>
      <w:r>
        <w:rPr>
          <w:b/>
          <w:color w:val="000000"/>
        </w:rPr>
        <w:t>ПРАВИЛНИК</w:t>
      </w:r>
    </w:p>
    <w:p w:rsidR="00B409C4" w:rsidRDefault="00486280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надзора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изгледу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сачињавају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приликом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надзора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границе</w:t>
      </w:r>
      <w:proofErr w:type="spellEnd"/>
    </w:p>
    <w:p w:rsidR="00B409C4" w:rsidRDefault="0048628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регионалном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језерима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каналима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рејона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обиласком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кретањем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запречених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праваца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хеликоптера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ваздухоплова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службених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коња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Осматрање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рејона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осматрачница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Обилазак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патролирањем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Прикупљањем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незаконите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непосредним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опажањем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уочавањем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евентуалних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трагова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близини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селективну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lastRenderedPageBreak/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запречених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запречавању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опажања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повременим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обиласком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1.),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заједничке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мешовите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патроле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упућивање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Полицијски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2.),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409C4" w:rsidRDefault="0048628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409C4" w:rsidRDefault="0048628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01-8098/18-3</w:t>
      </w:r>
    </w:p>
    <w:p w:rsidR="00B409C4" w:rsidRDefault="0048628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409C4" w:rsidRDefault="0048628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409C4" w:rsidRDefault="00486280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409C4" w:rsidRDefault="00486280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B409C4" w:rsidRDefault="00486280">
      <w:pPr>
        <w:spacing w:after="0"/>
      </w:pPr>
      <w:bookmarkStart w:id="0" w:name="_idContainer068"/>
      <w:r>
        <w:rPr>
          <w:rFonts w:ascii="Arial"/>
          <w:color w:val="000000"/>
        </w:rPr>
        <w:t> </w:t>
      </w:r>
    </w:p>
    <w:bookmarkEnd w:id="0"/>
    <w:p w:rsidR="00B409C4" w:rsidRDefault="00486280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1 - </w:t>
      </w:r>
      <w:hyperlink r:id="rId4">
        <w:proofErr w:type="spellStart"/>
        <w:r>
          <w:rPr>
            <w:rStyle w:val="Hyperlink"/>
            <w:color w:val="008000"/>
          </w:rPr>
          <w:t>Налог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вршење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надзора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државне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границе</w:t>
        </w:r>
        <w:proofErr w:type="spellEnd"/>
      </w:hyperlink>
    </w:p>
    <w:p w:rsidR="00B409C4" w:rsidRDefault="00486280">
      <w:pPr>
        <w:spacing w:after="150"/>
        <w:rPr>
          <w:rStyle w:val="Hyperlink"/>
          <w:color w:val="008000"/>
        </w:rPr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2 - </w:t>
      </w:r>
      <w:hyperlink r:id="rId5">
        <w:proofErr w:type="spellStart"/>
        <w:r>
          <w:rPr>
            <w:rStyle w:val="Hyperlink"/>
            <w:color w:val="008000"/>
          </w:rPr>
          <w:t>Извештај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извршеном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налогу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надзор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државне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границе</w:t>
        </w:r>
        <w:proofErr w:type="spellEnd"/>
      </w:hyperlink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>
      <w:pPr>
        <w:spacing w:after="150"/>
        <w:rPr>
          <w:rStyle w:val="Hyperlink"/>
          <w:color w:val="008000"/>
        </w:rPr>
      </w:pPr>
    </w:p>
    <w:p w:rsidR="008E4060" w:rsidRDefault="008E4060" w:rsidP="008E4060">
      <w:pPr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Latn-RS"/>
        </w:rPr>
        <w:lastRenderedPageBreak/>
        <w:t>O</w:t>
      </w:r>
      <w:r>
        <w:rPr>
          <w:rFonts w:ascii="Times New Roman" w:hAnsi="Times New Roman" w:cs="Times New Roman"/>
          <w:b/>
          <w:bCs/>
          <w:lang w:val="sr-Cyrl-RS"/>
        </w:rPr>
        <w:t>бразац</w:t>
      </w:r>
      <w:r w:rsidRPr="003026BE">
        <w:rPr>
          <w:rFonts w:ascii="Times New Roman" w:hAnsi="Times New Roman" w:cs="Times New Roman"/>
          <w:b/>
          <w:bCs/>
          <w:lang w:val="sr-Cyrl-CS"/>
        </w:rPr>
        <w:t xml:space="preserve"> 1</w:t>
      </w:r>
    </w:p>
    <w:p w:rsidR="008E4060" w:rsidRPr="00583A1D" w:rsidRDefault="008E4060" w:rsidP="008E4060">
      <w:pPr>
        <w:rPr>
          <w:rFonts w:ascii="Times New Roman" w:hAnsi="Times New Roman" w:cs="Times New Roman"/>
          <w:b/>
          <w:bCs/>
          <w:lang w:val="sr-Cyrl-CS"/>
        </w:rPr>
      </w:pPr>
      <w:r w:rsidRPr="00BB3E7D">
        <w:rPr>
          <w:rFonts w:ascii="Times New Roman" w:hAnsi="Times New Roman" w:cs="Times New Roman"/>
          <w:lang w:val="ru-RU"/>
        </w:rPr>
        <w:t>Република Србија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>Министарство унутрашњих послова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>Дирекција полиције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>Управа граничне полиције</w:t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>РЦ</w:t>
      </w:r>
      <w:r>
        <w:rPr>
          <w:rFonts w:ascii="Times New Roman" w:hAnsi="Times New Roman" w:cs="Times New Roman"/>
        </w:rPr>
        <w:t>/СГП .....................</w:t>
      </w:r>
      <w:r w:rsidRPr="00D542E8">
        <w:rPr>
          <w:rFonts w:ascii="Times New Roman" w:hAnsi="Times New Roman" w:cs="Times New Roman"/>
        </w:rPr>
        <w:t xml:space="preserve">.                                                                                               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ДД.ММ.ГГГГ. године</w:t>
      </w:r>
      <w:r w:rsidRPr="00D542E8">
        <w:rPr>
          <w:rFonts w:ascii="Times New Roman" w:hAnsi="Times New Roman" w:cs="Times New Roman"/>
        </w:rPr>
        <w:t>.</w:t>
      </w:r>
    </w:p>
    <w:p w:rsidR="008E4060" w:rsidRPr="00D542E8" w:rsidRDefault="008E4060" w:rsidP="008E4060">
      <w:pPr>
        <w:pStyle w:val="NoSpacing"/>
        <w:rPr>
          <w:rFonts w:ascii="Times New Roman" w:hAnsi="Times New Roman" w:cs="Times New Roman"/>
        </w:rPr>
      </w:pPr>
    </w:p>
    <w:p w:rsidR="008E4060" w:rsidRPr="00D542E8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60" w:rsidRPr="00D542E8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2E8">
        <w:rPr>
          <w:rFonts w:ascii="Times New Roman" w:hAnsi="Times New Roman" w:cs="Times New Roman"/>
          <w:b/>
          <w:bCs/>
          <w:sz w:val="24"/>
          <w:szCs w:val="24"/>
        </w:rPr>
        <w:t xml:space="preserve">НАЛОГ ЗА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ВРШЕЊЕ </w:t>
      </w:r>
      <w:r w:rsidRPr="00D542E8">
        <w:rPr>
          <w:rFonts w:ascii="Times New Roman" w:hAnsi="Times New Roman" w:cs="Times New Roman"/>
          <w:b/>
          <w:bCs/>
          <w:sz w:val="24"/>
          <w:szCs w:val="24"/>
        </w:rPr>
        <w:t>НАДЗОРА ДРЖАВНЕ ГРАНИЦЕ</w:t>
      </w:r>
    </w:p>
    <w:p w:rsidR="008E4060" w:rsidRPr="00D542E8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542E8">
        <w:rPr>
          <w:rFonts w:ascii="Times New Roman" w:hAnsi="Times New Roman" w:cs="Times New Roman"/>
          <w:b/>
          <w:bCs/>
        </w:rPr>
        <w:t>Број ______/20__</w:t>
      </w:r>
    </w:p>
    <w:p w:rsidR="008E4060" w:rsidRPr="00D542E8" w:rsidRDefault="008E4060" w:rsidP="008E4060">
      <w:pPr>
        <w:pStyle w:val="NoSpacing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8E4060" w:rsidRPr="00583A1D" w:rsidRDefault="008E4060" w:rsidP="008E406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 Састав граничне патроле: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922"/>
      </w:tblGrid>
      <w:tr w:rsidR="008E4060" w:rsidRPr="00D542E8" w:rsidTr="0037391E">
        <w:trPr>
          <w:trHeight w:val="585"/>
        </w:trPr>
        <w:tc>
          <w:tcPr>
            <w:tcW w:w="5284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D542E8">
              <w:rPr>
                <w:rFonts w:ascii="Times New Roman" w:hAnsi="Times New Roman" w:cs="Times New Roman"/>
                <w:i/>
                <w:iCs/>
              </w:rPr>
              <w:t>вођа</w:t>
            </w:r>
            <w:proofErr w:type="spellEnd"/>
          </w:p>
        </w:tc>
        <w:tc>
          <w:tcPr>
            <w:tcW w:w="4922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D542E8">
              <w:rPr>
                <w:rFonts w:ascii="Times New Roman" w:hAnsi="Times New Roman" w:cs="Times New Roman"/>
                <w:i/>
                <w:iCs/>
              </w:rPr>
              <w:t>члан</w:t>
            </w:r>
            <w:proofErr w:type="spellEnd"/>
          </w:p>
        </w:tc>
      </w:tr>
      <w:tr w:rsidR="008E4060" w:rsidRPr="00D542E8" w:rsidTr="0037391E">
        <w:trPr>
          <w:trHeight w:val="551"/>
        </w:trPr>
        <w:tc>
          <w:tcPr>
            <w:tcW w:w="5284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D542E8">
              <w:rPr>
                <w:rFonts w:ascii="Times New Roman" w:hAnsi="Times New Roman" w:cs="Times New Roman"/>
                <w:i/>
                <w:iCs/>
              </w:rPr>
              <w:t>члан</w:t>
            </w:r>
            <w:proofErr w:type="spellEnd"/>
          </w:p>
        </w:tc>
        <w:tc>
          <w:tcPr>
            <w:tcW w:w="4922" w:type="dxa"/>
            <w:vAlign w:val="center"/>
          </w:tcPr>
          <w:p w:rsidR="008E4060" w:rsidRPr="00D542E8" w:rsidRDefault="008E4060" w:rsidP="0037391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D542E8">
              <w:rPr>
                <w:rFonts w:ascii="Times New Roman" w:hAnsi="Times New Roman" w:cs="Times New Roman"/>
                <w:i/>
                <w:iCs/>
              </w:rPr>
              <w:t>члан</w:t>
            </w:r>
            <w:proofErr w:type="spellEnd"/>
          </w:p>
        </w:tc>
      </w:tr>
    </w:tbl>
    <w:p w:rsidR="008E4060" w:rsidRPr="00583A1D" w:rsidRDefault="008E4060" w:rsidP="008E4060">
      <w:pPr>
        <w:pStyle w:val="NoSpacing"/>
        <w:rPr>
          <w:rFonts w:ascii="Arial" w:hAnsi="Arial" w:cs="Arial"/>
          <w:sz w:val="12"/>
          <w:szCs w:val="12"/>
        </w:rPr>
      </w:pP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i/>
          <w:iCs/>
        </w:rPr>
      </w:pP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 Реализација делатности</w:t>
      </w:r>
      <w:r>
        <w:rPr>
          <w:rFonts w:ascii="Times New Roman" w:hAnsi="Times New Roman" w:cs="Times New Roman"/>
        </w:rPr>
        <w:t>:</w:t>
      </w:r>
      <w:r w:rsidRPr="00583A1D">
        <w:rPr>
          <w:rFonts w:ascii="Times New Roman" w:hAnsi="Times New Roman" w:cs="Times New Roman"/>
          <w:i/>
          <w:iCs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7562"/>
      </w:tblGrid>
      <w:tr w:rsidR="008E4060" w:rsidRPr="000B0CAA" w:rsidTr="0037391E">
        <w:trPr>
          <w:trHeight w:val="878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Начин реализације</w:t>
            </w:r>
          </w:p>
        </w:tc>
        <w:tc>
          <w:tcPr>
            <w:tcW w:w="756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19050</wp:posOffset>
                      </wp:positionV>
                      <wp:extent cx="286385" cy="163830"/>
                      <wp:effectExtent l="12700" t="7620" r="571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709D" id="Rectangle 4" o:spid="_x0000_s1026" style="position:absolute;margin-left:330.1pt;margin-top:1.5pt;width:22.5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8GIAIAADs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19050</wp:posOffset>
                      </wp:positionV>
                      <wp:extent cx="286385" cy="163830"/>
                      <wp:effectExtent l="10160" t="7620" r="825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C702" id="Rectangle 3" o:spid="_x0000_s1026" style="position:absolute;margin-left:137.9pt;margin-top:1.5pt;width:22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nuIAIAADs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"/>
                  </w:pict>
                </mc:Fallback>
              </mc:AlternateContent>
            </w:r>
            <w:r w:rsidRPr="00D542E8">
              <w:rPr>
                <w:rFonts w:ascii="Times New Roman" w:hAnsi="Times New Roman" w:cs="Times New Roman"/>
              </w:rPr>
              <w:t xml:space="preserve">Осматрање                                </w:t>
            </w:r>
            <w:r w:rsidRPr="00D542E8"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D542E8">
              <w:rPr>
                <w:rFonts w:ascii="Times New Roman" w:hAnsi="Times New Roman" w:cs="Times New Roman"/>
              </w:rPr>
              <w:t xml:space="preserve">Обилазак  подручја             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24130</wp:posOffset>
                      </wp:positionV>
                      <wp:extent cx="286385" cy="163830"/>
                      <wp:effectExtent l="10160" t="10160" r="825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87C62" id="Rectangle 2" o:spid="_x0000_s1026" style="position:absolute;margin-left:137.9pt;margin-top:1.9pt;width:22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XNIAIAADs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25400</wp:posOffset>
                      </wp:positionV>
                      <wp:extent cx="286385" cy="163830"/>
                      <wp:effectExtent l="12700" t="11430" r="571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9519" id="Rectangle 1" o:spid="_x0000_s1026" style="position:absolute;margin-left:330.1pt;margin-top:2pt;width:22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"/>
                  </w:pict>
                </mc:Fallback>
              </mc:AlternateContent>
            </w:r>
            <w:r w:rsidRPr="00D542E8">
              <w:rPr>
                <w:rFonts w:ascii="Times New Roman" w:hAnsi="Times New Roman" w:cs="Times New Roman"/>
              </w:rPr>
              <w:t xml:space="preserve">Прикупљање </w:t>
            </w:r>
            <w:r w:rsidRPr="00D542E8">
              <w:rPr>
                <w:rFonts w:ascii="Times New Roman" w:hAnsi="Times New Roman" w:cs="Times New Roman"/>
                <w:lang w:val="sr-Cyrl-CS"/>
              </w:rPr>
              <w:t>сазнања</w:t>
            </w:r>
            <w:r w:rsidRPr="00D542E8">
              <w:rPr>
                <w:rFonts w:ascii="Times New Roman" w:hAnsi="Times New Roman" w:cs="Times New Roman"/>
              </w:rPr>
              <w:t xml:space="preserve">           </w:t>
            </w:r>
            <w:r w:rsidRPr="00D542E8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D542E8">
              <w:rPr>
                <w:rFonts w:ascii="Times New Roman" w:hAnsi="Times New Roman" w:cs="Times New Roman"/>
              </w:rPr>
              <w:t xml:space="preserve">Контрола путног правца </w:t>
            </w:r>
          </w:p>
        </w:tc>
      </w:tr>
      <w:tr w:rsidR="008E4060" w:rsidRPr="00D542E8" w:rsidTr="0037391E">
        <w:trPr>
          <w:trHeight w:val="565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Место</w:t>
            </w:r>
          </w:p>
        </w:tc>
        <w:tc>
          <w:tcPr>
            <w:tcW w:w="7562" w:type="dxa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D542E8" w:rsidTr="0037391E">
        <w:trPr>
          <w:trHeight w:val="573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Време</w:t>
            </w:r>
          </w:p>
        </w:tc>
        <w:tc>
          <w:tcPr>
            <w:tcW w:w="7562" w:type="dxa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Датум: ДД.ММ.ГГГГ. године</w:t>
            </w:r>
            <w:r w:rsidRPr="00D542E8">
              <w:rPr>
                <w:rFonts w:ascii="Times New Roman" w:hAnsi="Times New Roman" w:cs="Times New Roman"/>
              </w:rPr>
              <w:t xml:space="preserve"> </w:t>
            </w:r>
            <w:r w:rsidRPr="00D542E8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Од: СС.ММ.  До: СС.ММ. час</w:t>
            </w:r>
            <w:r w:rsidRPr="00D542E8">
              <w:rPr>
                <w:rFonts w:ascii="Times New Roman" w:hAnsi="Times New Roman" w:cs="Times New Roman"/>
              </w:rPr>
              <w:t>.</w:t>
            </w:r>
          </w:p>
        </w:tc>
      </w:tr>
      <w:tr w:rsidR="008E4060" w:rsidRPr="00D542E8" w:rsidTr="0037391E">
        <w:trPr>
          <w:trHeight w:val="537"/>
        </w:trPr>
        <w:tc>
          <w:tcPr>
            <w:tcW w:w="2644" w:type="dxa"/>
            <w:shd w:val="clear" w:color="auto" w:fill="F2F2F2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Напомене</w:t>
            </w:r>
          </w:p>
        </w:tc>
        <w:tc>
          <w:tcPr>
            <w:tcW w:w="7562" w:type="dxa"/>
            <w:vAlign w:val="center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  <w:r w:rsidRPr="00D542E8">
        <w:rPr>
          <w:rFonts w:ascii="Times New Roman" w:hAnsi="Times New Roman" w:cs="Times New Roman"/>
          <w:lang w:val="sr-Cyrl-CS"/>
        </w:rPr>
        <w:t xml:space="preserve">          </w:t>
      </w: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Техничка средства 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личну опрему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полицијских службеника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6682"/>
      </w:tblGrid>
      <w:tr w:rsidR="008E4060" w:rsidRPr="000B0CAA" w:rsidTr="0037391E">
        <w:trPr>
          <w:trHeight w:val="611"/>
        </w:trPr>
        <w:tc>
          <w:tcPr>
            <w:tcW w:w="3524" w:type="dxa"/>
            <w:shd w:val="clear" w:color="auto" w:fill="F2F2F2"/>
            <w:vAlign w:val="center"/>
          </w:tcPr>
          <w:p w:rsidR="008E4060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Возило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(марка, тип, рег.ознака)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  <w:vAlign w:val="center"/>
          </w:tcPr>
          <w:p w:rsidR="008E4060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Специјална опрема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(назив и инв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D542E8">
              <w:rPr>
                <w:rFonts w:ascii="Times New Roman" w:hAnsi="Times New Roman" w:cs="Times New Roman"/>
                <w:i/>
                <w:iCs/>
              </w:rPr>
              <w:t xml:space="preserve"> или фаб.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бр</w:t>
            </w:r>
            <w:r>
              <w:rPr>
                <w:rFonts w:ascii="Times New Roman" w:hAnsi="Times New Roman" w:cs="Times New Roman"/>
                <w:i/>
                <w:iCs/>
              </w:rPr>
              <w:t>ој</w:t>
            </w:r>
            <w:r w:rsidRPr="00D542E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  <w:vAlign w:val="center"/>
          </w:tcPr>
          <w:p w:rsidR="008E4060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Радио и телефонска веза </w:t>
            </w: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 xml:space="preserve">(инв.бр. и позивни бр.) 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  <w:sz w:val="12"/>
          <w:szCs w:val="12"/>
          <w:lang w:val="sr-Cyrl-CS"/>
        </w:rPr>
      </w:pPr>
      <w:r w:rsidRPr="00D542E8">
        <w:rPr>
          <w:rFonts w:ascii="Times New Roman" w:hAnsi="Times New Roman" w:cs="Times New Roman"/>
          <w:lang w:val="sr-Cyrl-CS"/>
        </w:rPr>
        <w:t xml:space="preserve">           </w:t>
      </w:r>
    </w:p>
    <w:p w:rsidR="008E4060" w:rsidRPr="00583A1D" w:rsidRDefault="008E4060" w:rsidP="008E406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4. Конкретни 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задаци за реализацију налога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583A1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E4060" w:rsidRPr="00D542E8" w:rsidTr="0037391E">
        <w:trPr>
          <w:trHeight w:val="525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</w:tr>
      <w:tr w:rsidR="008E4060" w:rsidRPr="00D542E8" w:rsidTr="0037391E">
        <w:trPr>
          <w:trHeight w:val="561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</w:tr>
      <w:tr w:rsidR="008E4060" w:rsidRPr="00D542E8" w:rsidTr="0037391E">
        <w:trPr>
          <w:trHeight w:val="555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</w:tr>
      <w:tr w:rsidR="008E4060" w:rsidRPr="00D542E8" w:rsidTr="0037391E">
        <w:trPr>
          <w:trHeight w:val="549"/>
        </w:trPr>
        <w:tc>
          <w:tcPr>
            <w:tcW w:w="10206" w:type="dxa"/>
          </w:tcPr>
          <w:p w:rsidR="008E4060" w:rsidRPr="00583A1D" w:rsidRDefault="008E4060" w:rsidP="0037391E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542E8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</w:tr>
    </w:tbl>
    <w:p w:rsidR="008E4060" w:rsidRPr="00583A1D" w:rsidRDefault="008E4060" w:rsidP="008E4060">
      <w:pPr>
        <w:pStyle w:val="NoSpacing"/>
        <w:rPr>
          <w:rFonts w:ascii="Times New Roman" w:hAnsi="Times New Roman" w:cs="Times New Roman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6682"/>
      </w:tblGrid>
      <w:tr w:rsidR="008E4060" w:rsidRPr="00D542E8" w:rsidTr="0037391E">
        <w:tc>
          <w:tcPr>
            <w:tcW w:w="3524" w:type="dxa"/>
            <w:shd w:val="clear" w:color="auto" w:fill="F2F2F2"/>
          </w:tcPr>
          <w:p w:rsidR="008E4060" w:rsidRPr="00583A1D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Упутио: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42E8">
              <w:rPr>
                <w:rFonts w:ascii="Times New Roman" w:hAnsi="Times New Roman" w:cs="Times New Roman"/>
              </w:rPr>
              <w:t>датум, време, потпис)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0B0CAA" w:rsidTr="0037391E">
        <w:tc>
          <w:tcPr>
            <w:tcW w:w="3524" w:type="dxa"/>
            <w:shd w:val="clear" w:color="auto" w:fill="F2F2F2"/>
          </w:tcPr>
          <w:p w:rsidR="008E4060" w:rsidRPr="00583A1D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Контролисао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42E8">
              <w:rPr>
                <w:rFonts w:ascii="Times New Roman" w:hAnsi="Times New Roman" w:cs="Times New Roman"/>
              </w:rPr>
              <w:t>(датум, време, место, потпис)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4060" w:rsidRPr="00D542E8" w:rsidTr="0037391E">
        <w:tc>
          <w:tcPr>
            <w:tcW w:w="3524" w:type="dxa"/>
            <w:shd w:val="clear" w:color="auto" w:fill="F2F2F2"/>
          </w:tcPr>
          <w:p w:rsidR="008E4060" w:rsidRPr="00583A1D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Прихватио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4060" w:rsidRPr="00D542E8" w:rsidRDefault="008E4060" w:rsidP="003739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542E8">
              <w:rPr>
                <w:rFonts w:ascii="Times New Roman" w:hAnsi="Times New Roman" w:cs="Times New Roman"/>
              </w:rPr>
              <w:t>датум, време, потпис )</w:t>
            </w:r>
          </w:p>
        </w:tc>
        <w:tc>
          <w:tcPr>
            <w:tcW w:w="6682" w:type="dxa"/>
          </w:tcPr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E4060" w:rsidRPr="00D542E8" w:rsidRDefault="008E4060" w:rsidP="0037391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E4060" w:rsidRPr="00647F66" w:rsidRDefault="008E4060" w:rsidP="008E4060">
      <w:pPr>
        <w:pStyle w:val="NoSpacing"/>
        <w:jc w:val="right"/>
        <w:rPr>
          <w:rFonts w:ascii="Times New Roman" w:hAnsi="Times New Roman" w:cs="Times New Roman"/>
        </w:rPr>
      </w:pP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 w:rsidRPr="00D54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РУКОВОДИЛАЦ РЦ/СГП</w:t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</w:rPr>
        <w:tab/>
      </w:r>
      <w:r w:rsidRPr="00B204E5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           </w:t>
      </w:r>
    </w:p>
    <w:p w:rsidR="008E4060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E4060" w:rsidRDefault="008E4060" w:rsidP="008E406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060" w:rsidRDefault="008E4060" w:rsidP="008E4060">
      <w:pPr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Latn-RS"/>
        </w:rPr>
        <w:t>O</w:t>
      </w:r>
      <w:r>
        <w:rPr>
          <w:rFonts w:ascii="Times New Roman" w:hAnsi="Times New Roman" w:cs="Times New Roman"/>
          <w:b/>
          <w:bCs/>
          <w:lang w:val="sr-Cyrl-RS"/>
        </w:rPr>
        <w:t>бразац</w:t>
      </w:r>
      <w:r w:rsidRPr="003026BE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2</w:t>
      </w:r>
    </w:p>
    <w:p w:rsidR="008E4060" w:rsidRDefault="008E4060" w:rsidP="008E4060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60" w:rsidRPr="00994F4B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ИЗВЕШТАЈ О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ИЗВРШЕНОМ</w:t>
      </w:r>
    </w:p>
    <w:p w:rsidR="008E4060" w:rsidRPr="00A61520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 ЗА</w:t>
      </w:r>
      <w:r w:rsidRPr="00A61520">
        <w:rPr>
          <w:rFonts w:ascii="Times New Roman" w:hAnsi="Times New Roman" w:cs="Times New Roman"/>
          <w:b/>
          <w:bCs/>
          <w:sz w:val="28"/>
          <w:szCs w:val="28"/>
        </w:rPr>
        <w:t xml:space="preserve"> НАДЗОР ДРЖАВНЕ ГРАНИЦЕ </w:t>
      </w:r>
    </w:p>
    <w:p w:rsidR="008E4060" w:rsidRPr="00B42EDA" w:rsidRDefault="008E4060" w:rsidP="008E406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У складу са налогом број .................реализована је делатност надзора државне границе.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Гранична патрола</w:t>
      </w:r>
      <w:r w:rsidRPr="00A61520">
        <w:rPr>
          <w:rFonts w:ascii="Times New Roman" w:hAnsi="Times New Roman" w:cs="Times New Roman"/>
          <w:sz w:val="28"/>
          <w:szCs w:val="28"/>
        </w:rPr>
        <w:t xml:space="preserve">  је поступала у саставу у складу са Налогом*/  није поступала* и одступање се огледа у 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Делатност</w:t>
      </w:r>
      <w:r w:rsidRPr="00A61520">
        <w:rPr>
          <w:rFonts w:ascii="Times New Roman" w:hAnsi="Times New Roman" w:cs="Times New Roman"/>
          <w:sz w:val="28"/>
          <w:szCs w:val="28"/>
        </w:rPr>
        <w:t xml:space="preserve"> је реализована у складу са Налогом* / није реализована* и одступање се огледа у  односу на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Теничка средства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D9D9D9"/>
        </w:rPr>
        <w:t xml:space="preserve"> 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употребљена </w:t>
      </w:r>
      <w:r w:rsidRPr="00A61520">
        <w:rPr>
          <w:rFonts w:ascii="Times New Roman" w:hAnsi="Times New Roman" w:cs="Times New Roman"/>
          <w:sz w:val="28"/>
          <w:szCs w:val="28"/>
        </w:rPr>
        <w:t xml:space="preserve"> у складу са Налогом*/ није коришћена* и одступање се огледа у односу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на.................................................................................................................. 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</w:t>
      </w:r>
    </w:p>
    <w:p w:rsidR="008E406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Током реализације налога пређено службеним во</w:t>
      </w:r>
      <w:r>
        <w:rPr>
          <w:rFonts w:ascii="Times New Roman" w:hAnsi="Times New Roman" w:cs="Times New Roman"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илом укупно </w:t>
      </w:r>
      <w:r w:rsidRPr="00A61520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A61520">
        <w:rPr>
          <w:rFonts w:ascii="Times New Roman" w:hAnsi="Times New Roman" w:cs="Times New Roman"/>
          <w:sz w:val="28"/>
          <w:szCs w:val="28"/>
        </w:rPr>
        <w:t>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Конкретни задаци</w:t>
      </w:r>
      <w:r w:rsidRPr="00A61520">
        <w:rPr>
          <w:rFonts w:ascii="Times New Roman" w:hAnsi="Times New Roman" w:cs="Times New Roman"/>
          <w:sz w:val="28"/>
          <w:szCs w:val="28"/>
        </w:rPr>
        <w:t xml:space="preserve"> су реализовани у складу са Налогом* / нису реализовани* и одступање се огледа у односу на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У вези са реализацијом</w:t>
      </w:r>
      <w:r w:rsidRPr="00A61520">
        <w:rPr>
          <w:rFonts w:ascii="Times New Roman" w:hAnsi="Times New Roman" w:cs="Times New Roman"/>
          <w:sz w:val="28"/>
          <w:szCs w:val="28"/>
        </w:rPr>
        <w:t xml:space="preserve"> конкретних задатака остварени су следећи резултати*/примењена овлашћења* / прикупљени безбедносно-интересантни подаци* и то : 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A61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61520">
        <w:rPr>
          <w:rFonts w:ascii="Times New Roman" w:hAnsi="Times New Roman" w:cs="Times New Roman"/>
          <w:sz w:val="28"/>
          <w:szCs w:val="28"/>
        </w:rPr>
        <w:t>Сачињена посебна  писмена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  <w:r w:rsidRPr="00A61520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E3E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EEECE1"/>
        </w:rPr>
        <w:t>Гранична патрола упућена и прихваћена</w:t>
      </w:r>
      <w:r w:rsidRPr="00A61520">
        <w:rPr>
          <w:rFonts w:ascii="Times New Roman" w:hAnsi="Times New Roman" w:cs="Times New Roman"/>
          <w:sz w:val="28"/>
          <w:szCs w:val="28"/>
        </w:rPr>
        <w:t xml:space="preserve"> у складу са Налогом*/ било је одступања* у вези </w:t>
      </w:r>
      <w:r>
        <w:rPr>
          <w:rFonts w:ascii="Times New Roman" w:hAnsi="Times New Roman" w:cs="Times New Roman"/>
          <w:sz w:val="28"/>
          <w:szCs w:val="28"/>
        </w:rPr>
        <w:t>са упућивањем и прихватом  и то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..........</w:t>
      </w: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...контролна детаност  је реал</w:t>
      </w:r>
      <w:r w:rsidRPr="00A61520">
        <w:rPr>
          <w:rFonts w:ascii="Times New Roman" w:hAnsi="Times New Roman" w:cs="Times New Roman"/>
          <w:sz w:val="28"/>
          <w:szCs w:val="28"/>
        </w:rPr>
        <w:t>изована*</w:t>
      </w:r>
      <w:r>
        <w:rPr>
          <w:rFonts w:ascii="Times New Roman" w:hAnsi="Times New Roman" w:cs="Times New Roman"/>
          <w:sz w:val="28"/>
          <w:szCs w:val="28"/>
        </w:rPr>
        <w:t xml:space="preserve"> / није реализована* током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.....................................................................................................................................</w:t>
      </w:r>
      <w:r w:rsidRPr="00A6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Остварио увид  руководилац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Извештај доставља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E4060" w:rsidRPr="00A61520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 w:rsidRPr="00A61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Pr="00A61520">
        <w:rPr>
          <w:rFonts w:ascii="Times New Roman" w:hAnsi="Times New Roman" w:cs="Times New Roman"/>
          <w:sz w:val="28"/>
          <w:szCs w:val="28"/>
        </w:rPr>
        <w:t xml:space="preserve">Вођа граничне патроле </w:t>
      </w: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......................................................                                      .......................................................</w:t>
      </w:r>
    </w:p>
    <w:p w:rsidR="008E4060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060" w:rsidRPr="00B42EDA" w:rsidRDefault="008E4060" w:rsidP="008E4060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8E4060" w:rsidRPr="00121B2E" w:rsidRDefault="008E4060" w:rsidP="008E4060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121B2E">
        <w:rPr>
          <w:rFonts w:ascii="Times New Roman" w:hAnsi="Times New Roman" w:cs="Times New Roman"/>
          <w:b/>
          <w:bCs/>
          <w:sz w:val="18"/>
          <w:szCs w:val="18"/>
        </w:rPr>
        <w:t xml:space="preserve">*заокружити или подвући тачан податак и образложити одступања </w:t>
      </w:r>
    </w:p>
    <w:p w:rsidR="008E4060" w:rsidRDefault="008E4060">
      <w:pPr>
        <w:spacing w:after="150"/>
      </w:pPr>
    </w:p>
    <w:sectPr w:rsidR="008E4060" w:rsidSect="008E4060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C4"/>
    <w:rsid w:val="00486280"/>
    <w:rsid w:val="008E4060"/>
    <w:rsid w:val="00B409C4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C768482-E9C9-4516-94AF-207A4B3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8E4060"/>
    <w:pPr>
      <w:spacing w:after="0" w:line="240" w:lineRule="auto"/>
    </w:pPr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azac_2.html&amp;x-filename=true&amp;regactid=426553&amp;doctype=reg" TargetMode="External"/><Relationship Id="rId4" Type="http://schemas.openxmlformats.org/officeDocument/2006/relationships/hyperlink" Target="http://www.pravno-informacioni-sistem.rs/SlGlasnikPortal/prilozi/obrazac_1.html&amp;x-filename=true&amp;regactid=426553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Jelena Djuric</cp:lastModifiedBy>
  <cp:revision>3</cp:revision>
  <dcterms:created xsi:type="dcterms:W3CDTF">2018-08-29T12:50:00Z</dcterms:created>
  <dcterms:modified xsi:type="dcterms:W3CDTF">2018-08-30T12:22:00Z</dcterms:modified>
</cp:coreProperties>
</file>