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Na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osnovu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211.</w:t>
      </w:r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stav</w:t>
      </w:r>
      <w:proofErr w:type="spellEnd"/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5.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Zakona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policiji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(„</w:t>
      </w:r>
      <w:proofErr w:type="spellStart"/>
      <w:r>
        <w:rPr>
          <w:rFonts w:ascii="Times New Roman" w:hAnsi="Times New Roman" w:cs="Times New Roman"/>
          <w:color w:val="000000"/>
        </w:rPr>
        <w:t>Službeni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glasnik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RS</w:t>
      </w:r>
      <w:r w:rsidR="00CD2321" w:rsidRPr="00CD2321">
        <w:rPr>
          <w:rFonts w:ascii="Times New Roman" w:hAnsi="Times New Roman" w:cs="Times New Roman"/>
          <w:color w:val="000000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6/16)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42.</w:t>
      </w:r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stav</w:t>
      </w:r>
      <w:proofErr w:type="spellEnd"/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1. </w:t>
      </w:r>
      <w:proofErr w:type="spellStart"/>
      <w:r>
        <w:rPr>
          <w:rFonts w:ascii="Times New Roman" w:hAnsi="Times New Roman" w:cs="Times New Roman"/>
          <w:color w:val="000000"/>
        </w:rPr>
        <w:t>Zakona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Vladi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(„</w:t>
      </w:r>
      <w:proofErr w:type="spellStart"/>
      <w:r>
        <w:rPr>
          <w:rFonts w:ascii="Times New Roman" w:hAnsi="Times New Roman" w:cs="Times New Roman"/>
          <w:color w:val="000000"/>
        </w:rPr>
        <w:t>Službeni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glasnik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RS</w:t>
      </w:r>
      <w:r w:rsidR="00CD2321" w:rsidRPr="00CD2321">
        <w:rPr>
          <w:rFonts w:ascii="Times New Roman" w:hAnsi="Times New Roman" w:cs="Times New Roman"/>
          <w:color w:val="000000"/>
        </w:rPr>
        <w:t xml:space="preserve">”, </w:t>
      </w:r>
      <w:r>
        <w:rPr>
          <w:rFonts w:ascii="Times New Roman" w:hAnsi="Times New Roman" w:cs="Times New Roman"/>
          <w:color w:val="000000"/>
        </w:rPr>
        <w:t>br</w:t>
      </w:r>
      <w:r w:rsidR="00CD2321" w:rsidRPr="00CD2321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>
        <w:rPr>
          <w:rFonts w:ascii="Times New Roman" w:hAnsi="Times New Roman" w:cs="Times New Roman"/>
          <w:color w:val="000000"/>
        </w:rPr>
        <w:t>ispravka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101/07, 65/08, 16/11, 68/12 – </w:t>
      </w:r>
      <w:r>
        <w:rPr>
          <w:rFonts w:ascii="Times New Roman" w:hAnsi="Times New Roman" w:cs="Times New Roman"/>
          <w:color w:val="000000"/>
        </w:rPr>
        <w:t>US</w:t>
      </w:r>
      <w:r w:rsidR="00CD2321" w:rsidRPr="00CD2321">
        <w:rPr>
          <w:rFonts w:ascii="Times New Roman" w:hAnsi="Times New Roman" w:cs="Times New Roman"/>
          <w:color w:val="000000"/>
        </w:rPr>
        <w:t>, 72/12, 7/14 –</w:t>
      </w:r>
      <w:r>
        <w:rPr>
          <w:rFonts w:ascii="Times New Roman" w:hAnsi="Times New Roman" w:cs="Times New Roman"/>
          <w:color w:val="000000"/>
        </w:rPr>
        <w:t>US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44/14),</w:t>
      </w:r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Vlada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donosi</w:t>
      </w:r>
      <w:proofErr w:type="spellEnd"/>
    </w:p>
    <w:p w:rsidR="003E3E42" w:rsidRPr="00CD2321" w:rsidRDefault="000B38C9">
      <w:pPr>
        <w:spacing w:after="2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UREDBU</w:t>
      </w:r>
    </w:p>
    <w:p w:rsidR="003E3E42" w:rsidRPr="00CD2321" w:rsidRDefault="000B38C9">
      <w:pPr>
        <w:spacing w:after="225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o</w:t>
      </w:r>
      <w:proofErr w:type="gramEnd"/>
      <w:r w:rsidR="00CD2321" w:rsidRPr="00CD232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načinu</w:t>
      </w:r>
      <w:proofErr w:type="spellEnd"/>
      <w:r w:rsidR="00CD2321" w:rsidRPr="00CD232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sprovođenja</w:t>
      </w:r>
      <w:proofErr w:type="spellEnd"/>
      <w:r w:rsidR="00CD2321" w:rsidRPr="00CD232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disciplinskog</w:t>
      </w:r>
      <w:proofErr w:type="spellEnd"/>
      <w:r w:rsidR="00CD2321" w:rsidRPr="00CD232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postupka</w:t>
      </w:r>
      <w:proofErr w:type="spellEnd"/>
      <w:r w:rsidR="00CD2321" w:rsidRPr="00CD2321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</w:t>
      </w:r>
      <w:r w:rsidR="00CD2321" w:rsidRPr="00CD232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Ministarstvu</w:t>
      </w:r>
      <w:proofErr w:type="spellEnd"/>
      <w:r w:rsidR="00CD2321" w:rsidRPr="00CD232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unutrašnjih</w:t>
      </w:r>
      <w:proofErr w:type="spellEnd"/>
      <w:r w:rsidR="00CD2321" w:rsidRPr="00CD232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poslova</w:t>
      </w:r>
      <w:proofErr w:type="spellEnd"/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>"</w:t>
      </w:r>
      <w:proofErr w:type="spellStart"/>
      <w:r w:rsidR="000B38C9">
        <w:rPr>
          <w:rFonts w:ascii="Times New Roman" w:hAnsi="Times New Roman" w:cs="Times New Roman"/>
          <w:color w:val="000000"/>
        </w:rPr>
        <w:t>Službeni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glasnik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RS</w:t>
      </w:r>
      <w:r w:rsidRPr="00CD2321">
        <w:rPr>
          <w:rFonts w:ascii="Times New Roman" w:hAnsi="Times New Roman" w:cs="Times New Roman"/>
          <w:color w:val="000000"/>
        </w:rPr>
        <w:t xml:space="preserve">", </w:t>
      </w:r>
      <w:proofErr w:type="spellStart"/>
      <w:r w:rsidR="000B38C9">
        <w:rPr>
          <w:rFonts w:ascii="Times New Roman" w:hAnsi="Times New Roman" w:cs="Times New Roman"/>
          <w:color w:val="000000"/>
        </w:rPr>
        <w:t>broj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26 </w:t>
      </w:r>
      <w:proofErr w:type="spellStart"/>
      <w:proofErr w:type="gramStart"/>
      <w:r w:rsidR="000B38C9">
        <w:rPr>
          <w:rFonts w:ascii="Times New Roman" w:hAnsi="Times New Roman" w:cs="Times New Roman"/>
          <w:color w:val="000000"/>
        </w:rPr>
        <w:t>od</w:t>
      </w:r>
      <w:proofErr w:type="spellEnd"/>
      <w:proofErr w:type="gramEnd"/>
      <w:r w:rsidRPr="00CD2321">
        <w:rPr>
          <w:rFonts w:ascii="Times New Roman" w:hAnsi="Times New Roman" w:cs="Times New Roman"/>
          <w:color w:val="000000"/>
        </w:rPr>
        <w:t xml:space="preserve"> 20. </w:t>
      </w:r>
      <w:proofErr w:type="spellStart"/>
      <w:proofErr w:type="gramStart"/>
      <w:r w:rsidR="000B38C9">
        <w:rPr>
          <w:rFonts w:ascii="Times New Roman" w:hAnsi="Times New Roman" w:cs="Times New Roman"/>
          <w:color w:val="000000"/>
        </w:rPr>
        <w:t>marta</w:t>
      </w:r>
      <w:proofErr w:type="spellEnd"/>
      <w:proofErr w:type="gramEnd"/>
      <w:r w:rsidRPr="00CD2321">
        <w:rPr>
          <w:rFonts w:ascii="Times New Roman" w:hAnsi="Times New Roman" w:cs="Times New Roman"/>
          <w:color w:val="000000"/>
        </w:rPr>
        <w:t xml:space="preserve"> 2017.</w:t>
      </w:r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> </w:t>
      </w:r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 xml:space="preserve">I. </w:t>
      </w:r>
      <w:r w:rsidR="000B38C9">
        <w:rPr>
          <w:rFonts w:ascii="Times New Roman" w:hAnsi="Times New Roman" w:cs="Times New Roman"/>
          <w:color w:val="000000"/>
        </w:rPr>
        <w:t>UVODNA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ODREDBA</w:t>
      </w:r>
    </w:p>
    <w:p w:rsidR="003E3E42" w:rsidRPr="00CD2321" w:rsidRDefault="000B38C9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1.</w:t>
      </w:r>
      <w:proofErr w:type="gramEnd"/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Ovom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uredbom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propisuje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način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sprovođenja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disciplinskog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postupka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Ministarstvu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unutrašnjih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poslova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daljem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tekstu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Ministarstvo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druga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pitanja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spellEnd"/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značaja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rad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disciplinskih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organa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odnosno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postupanje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pogledu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pokretanja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vođenja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odlučivanja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organizacije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rada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disciplinskih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organa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kao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način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vođenja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evidencija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izrečenim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disciplinskim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merama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 xml:space="preserve">II. </w:t>
      </w:r>
      <w:r w:rsidR="000B38C9">
        <w:rPr>
          <w:rFonts w:ascii="Times New Roman" w:hAnsi="Times New Roman" w:cs="Times New Roman"/>
          <w:color w:val="000000"/>
        </w:rPr>
        <w:t>POKRETANJE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DISCIPLINSKOG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POSTUPKA</w:t>
      </w:r>
    </w:p>
    <w:p w:rsidR="003E3E42" w:rsidRPr="00CD2321" w:rsidRDefault="000B38C9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Neposredni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rukovodilac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dužan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najkraćem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roku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spellEnd"/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saznanja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povredu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službene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dužnosti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protiv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zaposlenog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podnese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inicijativu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pokretanje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disciplinskog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postupka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rukovodiocu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organizacione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jedinice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ovlasti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podnošenja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inicijative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pokretanje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disciplinskog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postupka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neposredni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rukovodilac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dužan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ispita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okolnosti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spellEnd"/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značaja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pokretanje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disciplinskog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postupka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pokretanja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disciplinskog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postupka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zaposleni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nije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dužan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izjašnjava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okolnosti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povrede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službene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dužnosti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</w:p>
    <w:p w:rsidR="003E3E42" w:rsidRPr="00CD2321" w:rsidRDefault="000B38C9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3.</w:t>
      </w:r>
      <w:proofErr w:type="gramEnd"/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Rukovodilac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organizacione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jedinice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spellEnd"/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ovlasti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pokretanje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disciplinskog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postupka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prijemu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inicijative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pokretanje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disciplinskog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postupka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proverava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postoje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smetnje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njegovo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pokretanje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pa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će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istu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odbaciti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zaključkom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ako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:</w:t>
      </w:r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 xml:space="preserve">1) </w:t>
      </w:r>
      <w:proofErr w:type="spellStart"/>
      <w:proofErr w:type="gramStart"/>
      <w:r w:rsidR="000B38C9">
        <w:rPr>
          <w:rFonts w:ascii="Times New Roman" w:hAnsi="Times New Roman" w:cs="Times New Roman"/>
          <w:color w:val="000000"/>
        </w:rPr>
        <w:t>radnja</w:t>
      </w:r>
      <w:proofErr w:type="spellEnd"/>
      <w:proofErr w:type="gram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opisana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u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inicijativi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za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pokretanje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disciplinskog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postupka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nije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propisana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kao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povreda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službene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dužnosti</w:t>
      </w:r>
      <w:proofErr w:type="spellEnd"/>
      <w:r w:rsidRPr="00CD2321">
        <w:rPr>
          <w:rFonts w:ascii="Times New Roman" w:hAnsi="Times New Roman" w:cs="Times New Roman"/>
          <w:color w:val="000000"/>
        </w:rPr>
        <w:t>;</w:t>
      </w:r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="000B38C9">
        <w:rPr>
          <w:rFonts w:ascii="Times New Roman" w:hAnsi="Times New Roman" w:cs="Times New Roman"/>
          <w:color w:val="000000"/>
        </w:rPr>
        <w:t>je</w:t>
      </w:r>
      <w:proofErr w:type="gram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nastupila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zastarelost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za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pokretanje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disciplinskog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postupka</w:t>
      </w:r>
      <w:proofErr w:type="spellEnd"/>
      <w:r w:rsidRPr="00CD2321">
        <w:rPr>
          <w:rFonts w:ascii="Times New Roman" w:hAnsi="Times New Roman" w:cs="Times New Roman"/>
          <w:color w:val="000000"/>
        </w:rPr>
        <w:t>;</w:t>
      </w:r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="000B38C9">
        <w:rPr>
          <w:rFonts w:ascii="Times New Roman" w:hAnsi="Times New Roman" w:cs="Times New Roman"/>
          <w:color w:val="000000"/>
        </w:rPr>
        <w:t>je</w:t>
      </w:r>
      <w:proofErr w:type="gram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zaposlenom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u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međuvremenu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prestao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radni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odnos</w:t>
      </w:r>
      <w:proofErr w:type="spellEnd"/>
      <w:r w:rsidRPr="00CD2321">
        <w:rPr>
          <w:rFonts w:ascii="Times New Roman" w:hAnsi="Times New Roman" w:cs="Times New Roman"/>
          <w:color w:val="000000"/>
        </w:rPr>
        <w:t>.</w:t>
      </w:r>
    </w:p>
    <w:p w:rsidR="003E3E42" w:rsidRPr="00CD2321" w:rsidRDefault="000B38C9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4.</w:t>
      </w:r>
      <w:proofErr w:type="gramEnd"/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Zaključak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pokreće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postupak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zaposlenom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dostavlja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bez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odlaganja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sadrži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osnovne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identifikacione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podatke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zaposlenog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ime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prezime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); </w:t>
      </w:r>
      <w:proofErr w:type="spellStart"/>
      <w:r>
        <w:rPr>
          <w:rFonts w:ascii="Times New Roman" w:hAnsi="Times New Roman" w:cs="Times New Roman"/>
          <w:color w:val="000000"/>
        </w:rPr>
        <w:t>naziv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radnog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mesta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organizacione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jedinice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kojoj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raspoređen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</w:rPr>
        <w:t>činjenični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opis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radnje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kvalifikovane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povreda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službene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dužnosti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stavlja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teret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</w:rPr>
        <w:t>pravnu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kvalifikaciju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povrede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službene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dužnosti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kao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dokaze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kojima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zasniva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treba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ispitati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toku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postupka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</w:rPr>
        <w:t>vreme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mesto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izvršenja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kao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druge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okolnosti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potrebne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utvrđivanje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povrede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službene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dužnosti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lastRenderedPageBreak/>
        <w:t>Jednim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zaključkom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može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pokrenuti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postupak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protiv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više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zaposlenih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jednu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spellEnd"/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više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povreda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službene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dužnosti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može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protiv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jednog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zaposlenog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pokrenuti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postupak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više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povreda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službene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dužnosti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ukoliko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zasnovane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istom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činjeničnom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pravnom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osnovu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 xml:space="preserve">III. </w:t>
      </w:r>
      <w:r w:rsidR="000B38C9">
        <w:rPr>
          <w:rFonts w:ascii="Times New Roman" w:hAnsi="Times New Roman" w:cs="Times New Roman"/>
          <w:color w:val="000000"/>
        </w:rPr>
        <w:t>VOĐENJE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DISCIPLINSKOG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POSTUPKA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I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ODLUČIVANJE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O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DISCIPLINSKOJ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ODGOVORNOSTI</w:t>
      </w:r>
    </w:p>
    <w:p w:rsidR="003E3E42" w:rsidRPr="00CD2321" w:rsidRDefault="000B38C9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5.</w:t>
      </w:r>
      <w:proofErr w:type="gramEnd"/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postupku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održava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usmena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rasprava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kojoj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zaposleni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ima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izloži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svoju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odbranu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Zaposleni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raspravi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može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brani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preko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zastupnika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odnosno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punomoćnika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može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dostavi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pisanu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odbranu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Zaposlenog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postupku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može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zastupati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predstavnik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sindikata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čiji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zaposleni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ako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zaposleni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ovlasti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raspravi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dostavljanjem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pisanog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ovlašćenja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</w:p>
    <w:p w:rsidR="003E3E42" w:rsidRPr="00CD2321" w:rsidRDefault="000B38C9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6.</w:t>
      </w:r>
      <w:proofErr w:type="gramEnd"/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Kada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zaposleni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odbije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iznese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odbranu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odgovara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postavljena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pitanja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disciplinski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starešina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će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konstatovati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zapisniku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pročitati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njegovu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izjavu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ukoliko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ima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spisima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predmeta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pročitati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spise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predmeta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svoju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odluku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zasnovati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raspoloživim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činjenicama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dokazima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Ako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usmenu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raspravu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dođe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zaposleni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uredno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pozvan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svoj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izostanak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opravda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kao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ukoliko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dostavi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pisanu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odbranu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rasprava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će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održati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njegovom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odsustvu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</w:p>
    <w:p w:rsidR="003E3E42" w:rsidRPr="00CD2321" w:rsidRDefault="000B38C9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7.</w:t>
      </w:r>
      <w:proofErr w:type="gramEnd"/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Zaposlenom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svedocima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pismena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dostavljaju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službenom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poštom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preko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organizacione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jedinice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kojoj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rade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spellEnd"/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skladu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odredbama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zakona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uređuje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opšti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upravni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postupak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regulišu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pitanje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dostavljanja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</w:p>
    <w:p w:rsidR="003E3E42" w:rsidRPr="00CD2321" w:rsidRDefault="000B38C9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8.</w:t>
      </w:r>
      <w:proofErr w:type="gramEnd"/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Disciplinski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starešina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ima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obavezu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usmenoj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raspravi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kojoj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isključena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javnost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upozori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prisutne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dužni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čuvaju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tajnu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što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usmenoj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raspravi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saznali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Rukovanje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podacima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sa</w:t>
      </w:r>
      <w:proofErr w:type="spellEnd"/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oznakom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tajnosti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mora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vršiti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skladu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propisima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regulišu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materiju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</w:p>
    <w:p w:rsidR="003E3E42" w:rsidRPr="00CD2321" w:rsidRDefault="000B38C9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9.</w:t>
      </w:r>
      <w:proofErr w:type="gramEnd"/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Ukoliko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toku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pokretanja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spellEnd"/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vođenja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disciplinskog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postupka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zaposleni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bude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premešten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raspoređen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drugo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radno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mesto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pripada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organizacionoj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jedinici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kojoj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izvršena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povreda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službene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dužnosti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nadležna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pokretanje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vođenje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postupka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odlučivanje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kao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izricanje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mere</w:t>
      </w:r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ostaje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organizaciona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jedinica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kojoj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zaposleni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radio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vreme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izvršenja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povrede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službene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dužnosti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</w:p>
    <w:p w:rsidR="003E3E42" w:rsidRPr="00CD2321" w:rsidRDefault="000B38C9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10.</w:t>
      </w:r>
      <w:proofErr w:type="gramEnd"/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prekidu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disciplinskog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postupka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zbog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nemogućnosti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njegovog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vođenja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donosi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poseban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zaključak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slučajevima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ako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:</w:t>
      </w:r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 xml:space="preserve">1) </w:t>
      </w:r>
      <w:proofErr w:type="spellStart"/>
      <w:proofErr w:type="gramStart"/>
      <w:r w:rsidR="000B38C9">
        <w:rPr>
          <w:rFonts w:ascii="Times New Roman" w:hAnsi="Times New Roman" w:cs="Times New Roman"/>
          <w:color w:val="000000"/>
        </w:rPr>
        <w:t>disciplinski</w:t>
      </w:r>
      <w:proofErr w:type="spellEnd"/>
      <w:proofErr w:type="gram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postupak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nije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moguće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voditi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zbog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odsustva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zaposlenog</w:t>
      </w:r>
      <w:proofErr w:type="spellEnd"/>
      <w:r w:rsidRPr="00CD2321">
        <w:rPr>
          <w:rFonts w:ascii="Times New Roman" w:hAnsi="Times New Roman" w:cs="Times New Roman"/>
          <w:color w:val="000000"/>
        </w:rPr>
        <w:t>;</w:t>
      </w:r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 xml:space="preserve">2) </w:t>
      </w:r>
      <w:proofErr w:type="spellStart"/>
      <w:proofErr w:type="gramStart"/>
      <w:r w:rsidR="000B38C9">
        <w:rPr>
          <w:rFonts w:ascii="Times New Roman" w:hAnsi="Times New Roman" w:cs="Times New Roman"/>
          <w:color w:val="000000"/>
        </w:rPr>
        <w:t>disciplinski</w:t>
      </w:r>
      <w:proofErr w:type="spellEnd"/>
      <w:proofErr w:type="gram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postupak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nije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moguće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voditi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iz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drugih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opravdanih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razloga</w:t>
      </w:r>
      <w:proofErr w:type="spellEnd"/>
      <w:r w:rsidRPr="00CD2321">
        <w:rPr>
          <w:rFonts w:ascii="Times New Roman" w:hAnsi="Times New Roman" w:cs="Times New Roman"/>
          <w:color w:val="000000"/>
        </w:rPr>
        <w:t>.</w:t>
      </w:r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Pre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nego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što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postupak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prekine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prikupiće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dokazi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povredi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službene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dužnosti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odgovornosti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zaposlenog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kojih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može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doći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Prekinuti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postupak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nastaviće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kad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prestanu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smetnje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izazvale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prekid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  <w:proofErr w:type="gramEnd"/>
    </w:p>
    <w:p w:rsidR="003E3E42" w:rsidRPr="00CD2321" w:rsidRDefault="000B38C9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11.</w:t>
      </w:r>
      <w:proofErr w:type="gramEnd"/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Disciplinski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starešina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toku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javne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rasprave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utvrdi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nije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neophodno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saslušanje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nekog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spellEnd"/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svedoka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drugih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može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odlučiti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dokazi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izvedu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čitanjem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njihovih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ranijih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izjava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odustati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izvođenja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tog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dokaza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Po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završenom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dokaznom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postupku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disciplinski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starešina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završnu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reč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zaposlenom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zastupniku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odnosno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punomoćniku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  <w:proofErr w:type="gramEnd"/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 xml:space="preserve">IV. </w:t>
      </w:r>
      <w:r w:rsidR="000B38C9">
        <w:rPr>
          <w:rFonts w:ascii="Times New Roman" w:hAnsi="Times New Roman" w:cs="Times New Roman"/>
          <w:color w:val="000000"/>
        </w:rPr>
        <w:t>IZRICANJE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DISCIPLINSKE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MERE</w:t>
      </w:r>
    </w:p>
    <w:p w:rsidR="003E3E42" w:rsidRPr="00CD2321" w:rsidRDefault="000B38C9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12.</w:t>
      </w:r>
      <w:proofErr w:type="gramEnd"/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Prilikom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izricanja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učinjenu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povredu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službene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dužnosti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obzir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uzimaju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okolnosti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propisane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Zakonom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policiji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kao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ranije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izrečene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vode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kadrovskoj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evidenciji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  <w:proofErr w:type="gramEnd"/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 xml:space="preserve">V. </w:t>
      </w:r>
      <w:r w:rsidR="000B38C9">
        <w:rPr>
          <w:rFonts w:ascii="Times New Roman" w:hAnsi="Times New Roman" w:cs="Times New Roman"/>
          <w:color w:val="000000"/>
        </w:rPr>
        <w:t>KRITERIJUMI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ZA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IZBOR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ČLANOVA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DISCIPLINSKE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KOMISIJE</w:t>
      </w:r>
    </w:p>
    <w:p w:rsidR="003E3E42" w:rsidRPr="00CD2321" w:rsidRDefault="000B38C9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13.</w:t>
      </w:r>
      <w:proofErr w:type="gramEnd"/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Predsednik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veća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komisije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Ministarstva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unutrašnjih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poslova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može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zaposleni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:</w:t>
      </w:r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 xml:space="preserve">1) </w:t>
      </w:r>
      <w:proofErr w:type="spellStart"/>
      <w:proofErr w:type="gramStart"/>
      <w:r w:rsidR="000B38C9">
        <w:rPr>
          <w:rFonts w:ascii="Times New Roman" w:hAnsi="Times New Roman" w:cs="Times New Roman"/>
          <w:color w:val="000000"/>
        </w:rPr>
        <w:t>ima</w:t>
      </w:r>
      <w:proofErr w:type="spellEnd"/>
      <w:proofErr w:type="gram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najmanje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pet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godina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iskustva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u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vođenju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prvostepenog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disciplinskog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postupka</w:t>
      </w:r>
      <w:proofErr w:type="spellEnd"/>
      <w:r w:rsidRPr="00CD2321">
        <w:rPr>
          <w:rFonts w:ascii="Times New Roman" w:hAnsi="Times New Roman" w:cs="Times New Roman"/>
          <w:color w:val="000000"/>
        </w:rPr>
        <w:t>;</w:t>
      </w:r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 xml:space="preserve">2) </w:t>
      </w:r>
      <w:proofErr w:type="spellStart"/>
      <w:proofErr w:type="gramStart"/>
      <w:r w:rsidR="000B38C9">
        <w:rPr>
          <w:rFonts w:ascii="Times New Roman" w:hAnsi="Times New Roman" w:cs="Times New Roman"/>
          <w:color w:val="000000"/>
        </w:rPr>
        <w:t>ima</w:t>
      </w:r>
      <w:proofErr w:type="spellEnd"/>
      <w:proofErr w:type="gram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najmanje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10 </w:t>
      </w:r>
      <w:proofErr w:type="spellStart"/>
      <w:r w:rsidR="000B38C9">
        <w:rPr>
          <w:rFonts w:ascii="Times New Roman" w:hAnsi="Times New Roman" w:cs="Times New Roman"/>
          <w:color w:val="000000"/>
        </w:rPr>
        <w:t>godina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radnog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iskustva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u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Ministarstvu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unutrašnjih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poslova</w:t>
      </w:r>
      <w:proofErr w:type="spellEnd"/>
      <w:r w:rsidRPr="00CD2321">
        <w:rPr>
          <w:rFonts w:ascii="Times New Roman" w:hAnsi="Times New Roman" w:cs="Times New Roman"/>
          <w:color w:val="000000"/>
        </w:rPr>
        <w:t>;</w:t>
      </w:r>
    </w:p>
    <w:p w:rsidR="003E3E42" w:rsidRPr="00CD2321" w:rsidRDefault="00CD2321">
      <w:pPr>
        <w:spacing w:after="150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 xml:space="preserve">3) </w:t>
      </w:r>
      <w:proofErr w:type="spellStart"/>
      <w:proofErr w:type="gramStart"/>
      <w:r w:rsidR="000B38C9">
        <w:rPr>
          <w:rFonts w:ascii="Times New Roman" w:hAnsi="Times New Roman" w:cs="Times New Roman"/>
          <w:color w:val="000000"/>
        </w:rPr>
        <w:t>nije</w:t>
      </w:r>
      <w:proofErr w:type="spellEnd"/>
      <w:proofErr w:type="gram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disciplinski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B38C9">
        <w:rPr>
          <w:rFonts w:ascii="Times New Roman" w:hAnsi="Times New Roman" w:cs="Times New Roman"/>
          <w:color w:val="000000"/>
        </w:rPr>
        <w:t>kažnjavan</w:t>
      </w:r>
      <w:proofErr w:type="spellEnd"/>
      <w:r w:rsidRPr="00CD2321">
        <w:rPr>
          <w:rFonts w:ascii="Times New Roman" w:hAnsi="Times New Roman" w:cs="Times New Roman"/>
          <w:color w:val="000000"/>
        </w:rPr>
        <w:t>.</w:t>
      </w:r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Za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predstavnika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javnosti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može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imenovano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svako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punoletno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državljanin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Republike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Srbije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dostojno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funkcije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predstavnika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javnosti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veću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komisije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Prilikom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imenovanja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uzima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obzir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znanje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stručnost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poznavanje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propisa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oblasti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unutrašnjih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poslova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  <w:proofErr w:type="gramEnd"/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Predstavnik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javnosti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može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advokat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niti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pruža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usluge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uz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naknadu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kao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ni</w:t>
      </w:r>
      <w:proofErr w:type="spellEnd"/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obavlja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nespojive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druge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poslove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mogu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dovesti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sumnju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njegovu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nepristrasnost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 xml:space="preserve">VI. </w:t>
      </w:r>
      <w:r w:rsidR="000B38C9">
        <w:rPr>
          <w:rFonts w:ascii="Times New Roman" w:hAnsi="Times New Roman" w:cs="Times New Roman"/>
          <w:color w:val="000000"/>
        </w:rPr>
        <w:t>PRAVNA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SREDSTVA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PROTIV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REŠENJA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U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DISCIPLINSKOM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POSTUPKU</w:t>
      </w:r>
    </w:p>
    <w:p w:rsidR="003E3E42" w:rsidRPr="00CD2321" w:rsidRDefault="000B38C9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14.</w:t>
      </w:r>
      <w:proofErr w:type="gramEnd"/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Protiv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rešenja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disciplinskog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starešine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zaposleni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čijoj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disciplinskoj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odgovornosti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odlučeno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prvom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stepenu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kao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pokrenulo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postupak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imaju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podnesu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prigovor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Disciplinskoj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komisiji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  <w:proofErr w:type="gramEnd"/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Prigovor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podnosi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roku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od</w:t>
      </w:r>
      <w:proofErr w:type="spellEnd"/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osam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dostavljanja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rešenja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</w:p>
    <w:p w:rsidR="003E3E42" w:rsidRPr="00CD2321" w:rsidRDefault="000B38C9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15.</w:t>
      </w:r>
      <w:proofErr w:type="gramEnd"/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Zaposlenom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kome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izrečena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mera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prestanka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radnog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odnosa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radni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odnos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prestaje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konačnosti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rešenja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mera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izrečena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  <w:proofErr w:type="gramEnd"/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 xml:space="preserve">VII. </w:t>
      </w:r>
      <w:r w:rsidR="000B38C9">
        <w:rPr>
          <w:rFonts w:ascii="Times New Roman" w:hAnsi="Times New Roman" w:cs="Times New Roman"/>
          <w:color w:val="000000"/>
        </w:rPr>
        <w:t>EVIDENCIJA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IZREČENIH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DISCIPLINSKIH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MERA</w:t>
      </w:r>
    </w:p>
    <w:p w:rsidR="003E3E42" w:rsidRPr="00CD2321" w:rsidRDefault="000B38C9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16.</w:t>
      </w:r>
      <w:proofErr w:type="gramEnd"/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lastRenderedPageBreak/>
        <w:t>Disciplinska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mera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izrečena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konačnim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rešenjem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upisuje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jedinstvenu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kadrovsku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evidenciju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policijskih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službenika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drugih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zaposlenih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Ministarstvu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  <w:proofErr w:type="gramEnd"/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Evidencija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1.</w:t>
      </w:r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ovog</w:t>
      </w:r>
      <w:proofErr w:type="spellEnd"/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vodi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elektronskoj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formi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Jedinstvenom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informacionom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sistemu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Ministarstva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unutrašnjih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poslova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Disciplinska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mera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briše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jedinstvene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kadrovske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evidencije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policijskih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službenika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drugih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zaposlenih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Ministarstvu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službenoj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dužnosti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spellEnd"/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zahtev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zaposlenog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ako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zaposlenom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bude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izrečena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nova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mera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naredne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dve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godine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izrečene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laku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povredu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službene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dužnosti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naredne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četiri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godine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izrečene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tešku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povredu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službene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dužnosti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</w:p>
    <w:p w:rsidR="003E3E42" w:rsidRPr="00CD2321" w:rsidRDefault="00CD2321">
      <w:pPr>
        <w:spacing w:after="120"/>
        <w:jc w:val="center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 xml:space="preserve">VIII. </w:t>
      </w:r>
      <w:r w:rsidR="000B38C9">
        <w:rPr>
          <w:rFonts w:ascii="Times New Roman" w:hAnsi="Times New Roman" w:cs="Times New Roman"/>
          <w:color w:val="000000"/>
        </w:rPr>
        <w:t>PRELAZNE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I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ZAVRŠNE</w:t>
      </w:r>
      <w:r w:rsidRPr="00CD2321">
        <w:rPr>
          <w:rFonts w:ascii="Times New Roman" w:hAnsi="Times New Roman" w:cs="Times New Roman"/>
          <w:color w:val="000000"/>
        </w:rPr>
        <w:t xml:space="preserve"> </w:t>
      </w:r>
      <w:r w:rsidR="000B38C9">
        <w:rPr>
          <w:rFonts w:ascii="Times New Roman" w:hAnsi="Times New Roman" w:cs="Times New Roman"/>
          <w:color w:val="000000"/>
        </w:rPr>
        <w:t>ODREDBE</w:t>
      </w:r>
    </w:p>
    <w:p w:rsidR="003E3E42" w:rsidRPr="00CD2321" w:rsidRDefault="000B38C9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17.</w:t>
      </w:r>
      <w:proofErr w:type="gramEnd"/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Postupci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utvrđivanja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odgovornosti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započeti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stupanja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snagu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uredbe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kojima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nije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doneta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konačna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odluka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utvrđivanju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odgovornosti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okončaće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odredbama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propisa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kojima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započeti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</w:p>
    <w:p w:rsidR="003E3E42" w:rsidRPr="00CD2321" w:rsidRDefault="000B38C9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18.</w:t>
      </w:r>
      <w:proofErr w:type="gramEnd"/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Danom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stupanja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snagu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uredbe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prestaje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važi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Uredba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disciplinskoj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odgovornosti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Ministarstvu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unutrašnjih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poslova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(„</w:t>
      </w:r>
      <w:proofErr w:type="spellStart"/>
      <w:r>
        <w:rPr>
          <w:rFonts w:ascii="Times New Roman" w:hAnsi="Times New Roman" w:cs="Times New Roman"/>
          <w:color w:val="000000"/>
        </w:rPr>
        <w:t>Službeni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glasnik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RS</w:t>
      </w:r>
      <w:r w:rsidR="00CD2321" w:rsidRPr="00CD2321">
        <w:rPr>
          <w:rFonts w:ascii="Times New Roman" w:hAnsi="Times New Roman" w:cs="Times New Roman"/>
          <w:color w:val="000000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8/06).</w:t>
      </w:r>
    </w:p>
    <w:p w:rsidR="003E3E42" w:rsidRPr="00CD2321" w:rsidRDefault="000B38C9">
      <w:pPr>
        <w:spacing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Član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19.</w:t>
      </w:r>
      <w:proofErr w:type="gramEnd"/>
    </w:p>
    <w:p w:rsidR="003E3E42" w:rsidRPr="00CD2321" w:rsidRDefault="000B38C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Ova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uredba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stupa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snagu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osmog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objavljivanja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„</w:t>
      </w:r>
      <w:proofErr w:type="spellStart"/>
      <w:r>
        <w:rPr>
          <w:rFonts w:ascii="Times New Roman" w:hAnsi="Times New Roman" w:cs="Times New Roman"/>
          <w:color w:val="000000"/>
        </w:rPr>
        <w:t>Službenom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glasniku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Republike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Srbije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”.</w:t>
      </w:r>
    </w:p>
    <w:p w:rsidR="003E3E42" w:rsidRPr="00CD2321" w:rsidRDefault="00CD2321">
      <w:pPr>
        <w:spacing w:after="150"/>
        <w:jc w:val="right"/>
        <w:rPr>
          <w:rFonts w:ascii="Times New Roman" w:hAnsi="Times New Roman" w:cs="Times New Roman"/>
        </w:rPr>
      </w:pPr>
      <w:r w:rsidRPr="00CD2321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="000B38C9">
        <w:rPr>
          <w:rFonts w:ascii="Times New Roman" w:hAnsi="Times New Roman" w:cs="Times New Roman"/>
          <w:color w:val="000000"/>
        </w:rPr>
        <w:t>broj</w:t>
      </w:r>
      <w:proofErr w:type="spellEnd"/>
      <w:r w:rsidRPr="00CD2321">
        <w:rPr>
          <w:rFonts w:ascii="Times New Roman" w:hAnsi="Times New Roman" w:cs="Times New Roman"/>
          <w:color w:val="000000"/>
        </w:rPr>
        <w:t xml:space="preserve"> 110-2332/2017</w:t>
      </w:r>
    </w:p>
    <w:p w:rsidR="003E3E42" w:rsidRPr="00CD2321" w:rsidRDefault="000B38C9">
      <w:pPr>
        <w:spacing w:after="15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U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Beogradu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, 17.</w:t>
      </w:r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marta</w:t>
      </w:r>
      <w:proofErr w:type="spellEnd"/>
      <w:proofErr w:type="gramEnd"/>
      <w:r w:rsidR="00CD2321" w:rsidRPr="00CD2321">
        <w:rPr>
          <w:rFonts w:ascii="Times New Roman" w:hAnsi="Times New Roman" w:cs="Times New Roman"/>
          <w:color w:val="000000"/>
        </w:rPr>
        <w:t xml:space="preserve"> 2017.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godine</w:t>
      </w:r>
      <w:proofErr w:type="spellEnd"/>
      <w:proofErr w:type="gramEnd"/>
    </w:p>
    <w:p w:rsidR="003E3E42" w:rsidRPr="00CD2321" w:rsidRDefault="000B38C9">
      <w:pPr>
        <w:spacing w:after="15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Vlada</w:t>
      </w:r>
      <w:proofErr w:type="spellEnd"/>
    </w:p>
    <w:p w:rsidR="003E3E42" w:rsidRPr="00CD2321" w:rsidRDefault="000B38C9">
      <w:pPr>
        <w:spacing w:after="15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Predsednik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,</w:t>
      </w:r>
    </w:p>
    <w:p w:rsidR="003E3E42" w:rsidRPr="00CD2321" w:rsidRDefault="000B38C9">
      <w:pPr>
        <w:spacing w:after="15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Aleksandar</w:t>
      </w:r>
      <w:proofErr w:type="spellEnd"/>
      <w:r w:rsidR="00CD2321" w:rsidRPr="00CD232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Vučić</w:t>
      </w:r>
      <w:proofErr w:type="spellEnd"/>
      <w:r w:rsidR="00CD2321" w:rsidRPr="00CD2321">
        <w:rPr>
          <w:rFonts w:ascii="Times New Roman" w:hAnsi="Times New Roman" w:cs="Times New Roman"/>
          <w:b/>
          <w:color w:val="000000"/>
        </w:rPr>
        <w:t>,</w:t>
      </w:r>
      <w:r w:rsidR="00CD2321" w:rsidRPr="00CD2321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</w:t>
      </w:r>
      <w:r w:rsidR="00CD2321" w:rsidRPr="00CD232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r</w:t>
      </w:r>
      <w:proofErr w:type="spellEnd"/>
      <w:r w:rsidR="00CD2321" w:rsidRPr="00CD2321">
        <w:rPr>
          <w:rFonts w:ascii="Times New Roman" w:hAnsi="Times New Roman" w:cs="Times New Roman"/>
          <w:color w:val="000000"/>
        </w:rPr>
        <w:t>.</w:t>
      </w:r>
    </w:p>
    <w:sectPr w:rsidR="003E3E42" w:rsidRPr="00CD2321" w:rsidSect="003E3E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E3E42"/>
    <w:rsid w:val="000B38C9"/>
    <w:rsid w:val="0026411A"/>
    <w:rsid w:val="003E3E42"/>
    <w:rsid w:val="00CD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3E3E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3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3E3E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1252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user</cp:lastModifiedBy>
  <cp:revision>3</cp:revision>
  <dcterms:created xsi:type="dcterms:W3CDTF">2017-07-11T08:18:00Z</dcterms:created>
  <dcterms:modified xsi:type="dcterms:W3CDTF">2017-07-13T10:16:00Z</dcterms:modified>
</cp:coreProperties>
</file>